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9462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F4761"/>
          <w:sz w:val="32"/>
          <w:szCs w:val="32"/>
        </w:rPr>
      </w:pPr>
      <w:r w:rsidRPr="0013009D">
        <w:rPr>
          <w:rFonts w:ascii="Arial" w:hAnsi="Arial" w:cs="Arial"/>
          <w:b/>
          <w:bCs/>
          <w:color w:val="0F4761"/>
          <w:sz w:val="32"/>
          <w:szCs w:val="32"/>
        </w:rPr>
        <w:t>ANEXOS</w:t>
      </w:r>
    </w:p>
    <w:p w14:paraId="7C8F5C0C" w14:textId="77777777" w:rsidR="0013009D" w:rsidRPr="0013009D" w:rsidRDefault="0013009D" w:rsidP="0013009D">
      <w:pPr>
        <w:pStyle w:val="Prrafodelista"/>
        <w:ind w:left="360"/>
        <w:jc w:val="both"/>
        <w:rPr>
          <w:rFonts w:ascii="Arial" w:hAnsi="Arial" w:cs="Arial"/>
          <w:b/>
          <w:bCs/>
          <w:lang w:eastAsia="es-CR"/>
        </w:rPr>
      </w:pPr>
    </w:p>
    <w:p w14:paraId="22CB40A8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</w:pPr>
      <w:r w:rsidRPr="0013009D"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  <w:t>Anexo 1</w:t>
      </w:r>
    </w:p>
    <w:p w14:paraId="6A7C3017" w14:textId="77777777" w:rsidR="0013009D" w:rsidRPr="0013009D" w:rsidRDefault="0013009D" w:rsidP="0013009D">
      <w:pPr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</w:pPr>
    </w:p>
    <w:p w14:paraId="394DD200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lang w:eastAsia="es-CR"/>
        </w:rPr>
      </w:pPr>
      <w:r w:rsidRPr="007D77D5">
        <w:rPr>
          <w:rFonts w:ascii="Arial" w:hAnsi="Arial" w:cs="Arial"/>
          <w:b/>
          <w:bCs/>
          <w:color w:val="0B769F" w:themeColor="accent4" w:themeShade="BF"/>
          <w:lang w:eastAsia="es-CR"/>
        </w:rPr>
        <w:t>Script en R</w:t>
      </w:r>
    </w:p>
    <w:p w14:paraId="797E1633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color w:val="0B769F" w:themeColor="accent4" w:themeShade="BF"/>
          <w:lang w:eastAsia="es-CR"/>
        </w:rPr>
      </w:pPr>
    </w:p>
    <w:p w14:paraId="75269850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eastAsia="es-CR"/>
        </w:rPr>
      </w:pPr>
      <w:r w:rsidRPr="0013009D">
        <w:rPr>
          <w:rFonts w:ascii="Arial" w:hAnsi="Arial" w:cs="Arial"/>
          <w:lang w:eastAsia="es-CR"/>
        </w:rPr>
        <w:t xml:space="preserve">El código completo con comentarios se encuentra en el siguiente repositorio: </w:t>
      </w:r>
      <w:hyperlink r:id="rId4" w:history="1">
        <w:r w:rsidRPr="0013009D">
          <w:rPr>
            <w:rStyle w:val="Hipervnculo"/>
            <w:rFonts w:ascii="Arial" w:hAnsi="Arial" w:cs="Arial"/>
            <w:lang w:eastAsia="es-CR"/>
          </w:rPr>
          <w:t>Mar89R/Modelos-bayesianos-</w:t>
        </w:r>
        <w:proofErr w:type="spellStart"/>
        <w:r w:rsidRPr="0013009D">
          <w:rPr>
            <w:rStyle w:val="Hipervnculo"/>
            <w:rFonts w:ascii="Arial" w:hAnsi="Arial" w:cs="Arial"/>
            <w:lang w:eastAsia="es-CR"/>
          </w:rPr>
          <w:t>ccss</w:t>
        </w:r>
        <w:proofErr w:type="spellEnd"/>
      </w:hyperlink>
    </w:p>
    <w:p w14:paraId="64AE2394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eastAsia="es-CR"/>
        </w:rPr>
      </w:pPr>
    </w:p>
    <w:p w14:paraId="0797E1F9" w14:textId="77777777" w:rsidR="0013009D" w:rsidRDefault="0013009D" w:rsidP="0013009D">
      <w:pPr>
        <w:jc w:val="both"/>
        <w:rPr>
          <w:rFonts w:ascii="Arial" w:hAnsi="Arial" w:cs="Arial"/>
          <w:b/>
          <w:bCs/>
          <w:lang w:eastAsia="es-CR"/>
        </w:rPr>
      </w:pPr>
    </w:p>
    <w:p w14:paraId="73D7B5CF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eastAsia="es-CR"/>
        </w:rPr>
      </w:pPr>
    </w:p>
    <w:p w14:paraId="68C4D4F0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</w:pPr>
      <w:r w:rsidRPr="0013009D"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  <w:t>Anexo 2</w:t>
      </w:r>
    </w:p>
    <w:p w14:paraId="6229DFF7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B81EC54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</w:rPr>
      </w:pPr>
      <w:r w:rsidRPr="007D77D5">
        <w:rPr>
          <w:rFonts w:ascii="Arial" w:hAnsi="Arial" w:cs="Arial"/>
          <w:b/>
          <w:bCs/>
          <w:color w:val="0B769F" w:themeColor="accent4" w:themeShade="BF"/>
        </w:rPr>
        <w:t>Figura 1. CCSS: Matriz de correlaciones entre las variables de estudio de hospitalizaciones evitables por DM2, 2019-2024</w:t>
      </w:r>
    </w:p>
    <w:p w14:paraId="42545E68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</w:rPr>
      </w:pPr>
      <w:r w:rsidRPr="0013009D"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B69A6B" w14:textId="77777777" w:rsidR="0013009D" w:rsidRPr="0013009D" w:rsidRDefault="0013009D" w:rsidP="007D77D5">
      <w:pPr>
        <w:jc w:val="center"/>
        <w:rPr>
          <w:rFonts w:ascii="Arial" w:hAnsi="Arial" w:cs="Arial"/>
        </w:rPr>
      </w:pPr>
      <w:r w:rsidRPr="0013009D">
        <w:rPr>
          <w:rFonts w:ascii="Arial" w:hAnsi="Arial" w:cs="Arial"/>
          <w:noProof/>
        </w:rPr>
        <w:drawing>
          <wp:inline distT="0" distB="0" distL="0" distR="0" wp14:anchorId="3C70B06D" wp14:editId="4A2D2AC0">
            <wp:extent cx="5553075" cy="3381375"/>
            <wp:effectExtent l="0" t="0" r="9525" b="9525"/>
            <wp:docPr id="151859892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58" cy="338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EBE28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40E1E2B7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34C36CAF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482D461F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0BE7F738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5D03DEA8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7881BF86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249D787C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4823E9D0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24CDB651" w14:textId="77777777" w:rsidR="0013009D" w:rsidRPr="0013009D" w:rsidRDefault="0013009D" w:rsidP="0013009D">
      <w:pPr>
        <w:jc w:val="both"/>
        <w:rPr>
          <w:rFonts w:ascii="Arial" w:hAnsi="Arial" w:cs="Arial"/>
        </w:rPr>
      </w:pPr>
    </w:p>
    <w:p w14:paraId="0E9CD7DB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</w:pPr>
      <w:r w:rsidRPr="0013009D"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  <w:lastRenderedPageBreak/>
        <w:t>Anexo 3</w:t>
      </w:r>
    </w:p>
    <w:p w14:paraId="3211B876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CDE60C7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</w:rPr>
      </w:pPr>
      <w:r w:rsidRPr="007D77D5">
        <w:rPr>
          <w:rFonts w:ascii="Arial" w:hAnsi="Arial" w:cs="Arial"/>
          <w:b/>
          <w:bCs/>
          <w:color w:val="0B769F" w:themeColor="accent4" w:themeShade="BF"/>
        </w:rPr>
        <w:t>Figura 2. CCSS: Relación entre los egresos hospitalarios y las covariables de estudio de hospitalizaciones evitables por DM2, 2019-2024</w:t>
      </w:r>
    </w:p>
    <w:p w14:paraId="5989CFA0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</w:pPr>
    </w:p>
    <w:p w14:paraId="2A33B14C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009D">
        <w:rPr>
          <w:rFonts w:ascii="Arial" w:hAnsi="Arial" w:cs="Arial"/>
          <w:noProof/>
        </w:rPr>
        <w:drawing>
          <wp:inline distT="0" distB="0" distL="0" distR="0" wp14:anchorId="41CDE9D5" wp14:editId="427D9424">
            <wp:extent cx="5417098" cy="3048000"/>
            <wp:effectExtent l="0" t="0" r="0" b="0"/>
            <wp:docPr id="169625975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46" cy="304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009D">
        <w:rPr>
          <w:rFonts w:ascii="Arial" w:hAnsi="Arial" w:cs="Arial"/>
        </w:rPr>
        <w:br w:type="textWrapping" w:clear="all"/>
      </w:r>
    </w:p>
    <w:p w14:paraId="1C2585F5" w14:textId="77777777" w:rsidR="0013009D" w:rsidRPr="0013009D" w:rsidRDefault="0013009D" w:rsidP="0013009D">
      <w:pPr>
        <w:jc w:val="both"/>
        <w:rPr>
          <w:rFonts w:ascii="Arial" w:hAnsi="Arial" w:cs="Arial"/>
          <w:sz w:val="22"/>
          <w:szCs w:val="22"/>
          <w:lang w:eastAsia="es-CR"/>
        </w:rPr>
      </w:pPr>
      <w:r w:rsidRPr="0013009D">
        <w:rPr>
          <w:rFonts w:ascii="Arial" w:hAnsi="Arial" w:cs="Arial"/>
          <w:sz w:val="22"/>
          <w:szCs w:val="22"/>
          <w:lang w:eastAsia="es-CR"/>
        </w:rPr>
        <w:t xml:space="preserve">Fuente: </w:t>
      </w:r>
      <w:proofErr w:type="spellStart"/>
      <w:r w:rsidRPr="0013009D">
        <w:rPr>
          <w:rFonts w:ascii="Arial" w:hAnsi="Arial" w:cs="Arial"/>
          <w:sz w:val="22"/>
          <w:szCs w:val="22"/>
          <w:lang w:eastAsia="es-CR"/>
        </w:rPr>
        <w:t>DCSS</w:t>
      </w:r>
      <w:proofErr w:type="spellEnd"/>
      <w:r w:rsidRPr="0013009D">
        <w:rPr>
          <w:rFonts w:ascii="Arial" w:hAnsi="Arial" w:cs="Arial"/>
          <w:sz w:val="22"/>
          <w:szCs w:val="22"/>
          <w:lang w:eastAsia="es-CR"/>
        </w:rPr>
        <w:t>. Evaluación de la prestación de Servicios de Salud, 2019-2024</w:t>
      </w:r>
    </w:p>
    <w:p w14:paraId="6690B735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</w:rPr>
      </w:pPr>
    </w:p>
    <w:p w14:paraId="58D156BA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lang w:eastAsia="es-CR"/>
        </w:rPr>
      </w:pPr>
    </w:p>
    <w:p w14:paraId="71F8FBAD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lang w:eastAsia="es-CR"/>
        </w:rPr>
      </w:pPr>
    </w:p>
    <w:p w14:paraId="77DC2171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</w:pPr>
      <w:r w:rsidRPr="0013009D"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  <w:t>Anexo 4</w:t>
      </w:r>
    </w:p>
    <w:p w14:paraId="52FBE728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4DFD428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</w:rPr>
      </w:pPr>
      <w:r w:rsidRPr="0013009D">
        <w:rPr>
          <w:rFonts w:ascii="Arial" w:hAnsi="Arial" w:cs="Arial"/>
          <w:b/>
          <w:bCs/>
          <w:color w:val="0B769F" w:themeColor="accent4" w:themeShade="BF"/>
          <w:sz w:val="28"/>
          <w:szCs w:val="28"/>
        </w:rPr>
        <w:t xml:space="preserve">  </w:t>
      </w:r>
      <w:r w:rsidRPr="007D77D5">
        <w:rPr>
          <w:rFonts w:ascii="Arial" w:hAnsi="Arial" w:cs="Arial"/>
          <w:b/>
          <w:bCs/>
          <w:color w:val="0B769F" w:themeColor="accent4" w:themeShade="BF"/>
        </w:rPr>
        <w:t xml:space="preserve">Tabla 1.  CCSS: Estimaciones de los </w:t>
      </w:r>
      <w:proofErr w:type="spellStart"/>
      <w:r w:rsidRPr="007D77D5">
        <w:rPr>
          <w:rFonts w:ascii="Arial" w:hAnsi="Arial" w:cs="Arial"/>
          <w:b/>
          <w:bCs/>
          <w:color w:val="0B769F" w:themeColor="accent4" w:themeShade="BF"/>
        </w:rPr>
        <w:t>hiperparámetros</w:t>
      </w:r>
      <w:proofErr w:type="spellEnd"/>
      <w:r w:rsidRPr="007D77D5">
        <w:rPr>
          <w:rFonts w:ascii="Arial" w:hAnsi="Arial" w:cs="Arial"/>
          <w:b/>
          <w:bCs/>
          <w:color w:val="0B769F" w:themeColor="accent4" w:themeShade="BF"/>
        </w:rPr>
        <w:t xml:space="preserve"> de los efectos aleatorios en el estudio de hospitalizaciones evitables por DM2, 2019-2024</w:t>
      </w:r>
    </w:p>
    <w:p w14:paraId="39DAC837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  <w:lang w:val="es-ES"/>
        </w:rPr>
      </w:pPr>
    </w:p>
    <w:tbl>
      <w:tblPr>
        <w:tblStyle w:val="Tablaconcuadrcula4-nfasis1"/>
        <w:tblW w:w="8512" w:type="dxa"/>
        <w:jc w:val="center"/>
        <w:tblLook w:val="04A0" w:firstRow="1" w:lastRow="0" w:firstColumn="1" w:lastColumn="0" w:noHBand="0" w:noVBand="1"/>
      </w:tblPr>
      <w:tblGrid>
        <w:gridCol w:w="2735"/>
        <w:gridCol w:w="1629"/>
        <w:gridCol w:w="1441"/>
        <w:gridCol w:w="1266"/>
        <w:gridCol w:w="1441"/>
      </w:tblGrid>
      <w:tr w:rsidR="0013009D" w:rsidRPr="0013009D" w14:paraId="01CCD3FA" w14:textId="77777777" w:rsidTr="00130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dxa"/>
            <w:vAlign w:val="center"/>
            <w:hideMark/>
          </w:tcPr>
          <w:p w14:paraId="193FBCFA" w14:textId="77777777" w:rsidR="0013009D" w:rsidRPr="0013009D" w:rsidRDefault="0013009D" w:rsidP="0013009D">
            <w:pPr>
              <w:pStyle w:val="Sinespaciado"/>
              <w:jc w:val="center"/>
              <w:rPr>
                <w:rFonts w:ascii="Arial" w:hAnsi="Arial" w:cs="Arial"/>
                <w:lang w:eastAsia="es-CR"/>
              </w:rPr>
            </w:pPr>
            <w:proofErr w:type="spellStart"/>
            <w:r w:rsidRPr="0013009D">
              <w:rPr>
                <w:rFonts w:ascii="Arial" w:hAnsi="Arial" w:cs="Arial"/>
                <w:lang w:eastAsia="es-CR"/>
              </w:rPr>
              <w:t>Hiperparámetro</w:t>
            </w:r>
            <w:proofErr w:type="spellEnd"/>
          </w:p>
        </w:tc>
        <w:tc>
          <w:tcPr>
            <w:tcW w:w="1629" w:type="dxa"/>
            <w:vAlign w:val="center"/>
            <w:hideMark/>
          </w:tcPr>
          <w:p w14:paraId="3D4171E0" w14:textId="77777777" w:rsidR="0013009D" w:rsidRPr="0013009D" w:rsidRDefault="0013009D" w:rsidP="0013009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Media</w:t>
            </w:r>
          </w:p>
        </w:tc>
        <w:tc>
          <w:tcPr>
            <w:tcW w:w="1441" w:type="dxa"/>
            <w:vAlign w:val="center"/>
            <w:hideMark/>
          </w:tcPr>
          <w:p w14:paraId="12BA7AEA" w14:textId="77777777" w:rsidR="0013009D" w:rsidRPr="0013009D" w:rsidRDefault="0013009D" w:rsidP="0013009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proofErr w:type="spellStart"/>
            <w:r w:rsidRPr="0013009D">
              <w:rPr>
                <w:rFonts w:ascii="Arial" w:hAnsi="Arial" w:cs="Arial"/>
                <w:lang w:eastAsia="es-CR"/>
              </w:rPr>
              <w:t>sd</w:t>
            </w:r>
            <w:proofErr w:type="spellEnd"/>
          </w:p>
        </w:tc>
        <w:tc>
          <w:tcPr>
            <w:tcW w:w="1266" w:type="dxa"/>
            <w:vAlign w:val="center"/>
            <w:hideMark/>
          </w:tcPr>
          <w:p w14:paraId="170A2300" w14:textId="77777777" w:rsidR="0013009D" w:rsidRPr="0013009D" w:rsidRDefault="0013009D" w:rsidP="0013009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2,5 %</w:t>
            </w:r>
          </w:p>
        </w:tc>
        <w:tc>
          <w:tcPr>
            <w:tcW w:w="1441" w:type="dxa"/>
            <w:vAlign w:val="center"/>
            <w:hideMark/>
          </w:tcPr>
          <w:p w14:paraId="7AED6F1E" w14:textId="77777777" w:rsidR="0013009D" w:rsidRPr="0013009D" w:rsidRDefault="0013009D" w:rsidP="0013009D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97,5 %</w:t>
            </w:r>
          </w:p>
        </w:tc>
      </w:tr>
      <w:tr w:rsidR="0013009D" w:rsidRPr="0013009D" w14:paraId="1C959EE6" w14:textId="77777777" w:rsidTr="007D7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dxa"/>
            <w:vAlign w:val="center"/>
            <w:hideMark/>
          </w:tcPr>
          <w:p w14:paraId="29ECDDE3" w14:textId="77777777" w:rsidR="0013009D" w:rsidRPr="0013009D" w:rsidRDefault="0013009D" w:rsidP="0013009D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lang w:eastAsia="es-C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eastAsia="es-CR"/>
                  </w:rPr>
                  <m:t>τ</m:t>
                </m:r>
              </m:oMath>
            </m:oMathPara>
          </w:p>
        </w:tc>
        <w:tc>
          <w:tcPr>
            <w:tcW w:w="1629" w:type="dxa"/>
            <w:vAlign w:val="center"/>
            <w:hideMark/>
          </w:tcPr>
          <w:p w14:paraId="7F090C8E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3,60</w:t>
            </w:r>
          </w:p>
        </w:tc>
        <w:tc>
          <w:tcPr>
            <w:tcW w:w="1441" w:type="dxa"/>
            <w:vAlign w:val="center"/>
            <w:hideMark/>
          </w:tcPr>
          <w:p w14:paraId="1933922F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0,25</w:t>
            </w:r>
          </w:p>
        </w:tc>
        <w:tc>
          <w:tcPr>
            <w:tcW w:w="1266" w:type="dxa"/>
            <w:vAlign w:val="center"/>
            <w:hideMark/>
          </w:tcPr>
          <w:p w14:paraId="6A7BCC72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3,14</w:t>
            </w:r>
          </w:p>
        </w:tc>
        <w:tc>
          <w:tcPr>
            <w:tcW w:w="1441" w:type="dxa"/>
            <w:vAlign w:val="center"/>
            <w:hideMark/>
          </w:tcPr>
          <w:p w14:paraId="2A5F142C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4,11</w:t>
            </w:r>
          </w:p>
        </w:tc>
      </w:tr>
      <w:tr w:rsidR="0013009D" w:rsidRPr="0013009D" w14:paraId="15FE8A97" w14:textId="77777777" w:rsidTr="007D77D5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dxa"/>
            <w:vAlign w:val="center"/>
            <w:hideMark/>
          </w:tcPr>
          <w:p w14:paraId="32FD98E6" w14:textId="77777777" w:rsidR="0013009D" w:rsidRPr="0013009D" w:rsidRDefault="0013009D" w:rsidP="0013009D">
            <w:pPr>
              <w:pStyle w:val="Sinespaciado"/>
              <w:jc w:val="center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φ</w:t>
            </w:r>
          </w:p>
        </w:tc>
        <w:tc>
          <w:tcPr>
            <w:tcW w:w="1629" w:type="dxa"/>
            <w:vAlign w:val="center"/>
            <w:hideMark/>
          </w:tcPr>
          <w:p w14:paraId="45DF8400" w14:textId="77777777" w:rsidR="0013009D" w:rsidRPr="0013009D" w:rsidRDefault="0013009D" w:rsidP="0013009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0,02</w:t>
            </w:r>
          </w:p>
        </w:tc>
        <w:tc>
          <w:tcPr>
            <w:tcW w:w="1441" w:type="dxa"/>
            <w:vAlign w:val="center"/>
            <w:hideMark/>
          </w:tcPr>
          <w:p w14:paraId="2AD7C2AD" w14:textId="77777777" w:rsidR="0013009D" w:rsidRPr="0013009D" w:rsidRDefault="0013009D" w:rsidP="0013009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0,02</w:t>
            </w:r>
          </w:p>
        </w:tc>
        <w:tc>
          <w:tcPr>
            <w:tcW w:w="1266" w:type="dxa"/>
            <w:vAlign w:val="center"/>
            <w:hideMark/>
          </w:tcPr>
          <w:p w14:paraId="3254360C" w14:textId="77777777" w:rsidR="0013009D" w:rsidRPr="0013009D" w:rsidRDefault="0013009D" w:rsidP="0013009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0,00</w:t>
            </w:r>
          </w:p>
        </w:tc>
        <w:tc>
          <w:tcPr>
            <w:tcW w:w="1441" w:type="dxa"/>
            <w:vAlign w:val="center"/>
            <w:hideMark/>
          </w:tcPr>
          <w:p w14:paraId="63AA43F9" w14:textId="77777777" w:rsidR="0013009D" w:rsidRPr="0013009D" w:rsidRDefault="0013009D" w:rsidP="0013009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0,09</w:t>
            </w:r>
          </w:p>
        </w:tc>
      </w:tr>
      <w:tr w:rsidR="0013009D" w:rsidRPr="0013009D" w14:paraId="75447BD1" w14:textId="77777777" w:rsidTr="007D7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dxa"/>
            <w:vAlign w:val="center"/>
            <w:hideMark/>
          </w:tcPr>
          <w:p w14:paraId="6117823E" w14:textId="77777777" w:rsidR="0013009D" w:rsidRPr="0013009D" w:rsidRDefault="0013009D" w:rsidP="0013009D">
            <w:pPr>
              <w:pStyle w:val="Sinespaciado"/>
              <w:jc w:val="center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ρ</w:t>
            </w:r>
          </w:p>
        </w:tc>
        <w:tc>
          <w:tcPr>
            <w:tcW w:w="1629" w:type="dxa"/>
            <w:vAlign w:val="center"/>
            <w:hideMark/>
          </w:tcPr>
          <w:p w14:paraId="5DEC77FD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0,49</w:t>
            </w:r>
          </w:p>
        </w:tc>
        <w:tc>
          <w:tcPr>
            <w:tcW w:w="1441" w:type="dxa"/>
            <w:vAlign w:val="center"/>
            <w:hideMark/>
          </w:tcPr>
          <w:p w14:paraId="53C3FB3A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0,32</w:t>
            </w:r>
          </w:p>
        </w:tc>
        <w:tc>
          <w:tcPr>
            <w:tcW w:w="1266" w:type="dxa"/>
            <w:vAlign w:val="center"/>
            <w:hideMark/>
          </w:tcPr>
          <w:p w14:paraId="2089C381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-0,28</w:t>
            </w:r>
          </w:p>
        </w:tc>
        <w:tc>
          <w:tcPr>
            <w:tcW w:w="1441" w:type="dxa"/>
            <w:vAlign w:val="center"/>
            <w:hideMark/>
          </w:tcPr>
          <w:p w14:paraId="601DE0C3" w14:textId="77777777" w:rsidR="0013009D" w:rsidRPr="0013009D" w:rsidRDefault="0013009D" w:rsidP="0013009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es-CR"/>
              </w:rPr>
            </w:pPr>
            <w:r w:rsidRPr="0013009D">
              <w:rPr>
                <w:rFonts w:ascii="Arial" w:hAnsi="Arial" w:cs="Arial"/>
                <w:lang w:eastAsia="es-CR"/>
              </w:rPr>
              <w:t>0,93</w:t>
            </w:r>
          </w:p>
        </w:tc>
      </w:tr>
    </w:tbl>
    <w:p w14:paraId="5F4EFF1A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val="es-ES"/>
        </w:rPr>
      </w:pPr>
    </w:p>
    <w:p w14:paraId="749D8426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val="es-ES"/>
        </w:rPr>
      </w:pPr>
    </w:p>
    <w:p w14:paraId="59E3A1BC" w14:textId="77777777" w:rsidR="0013009D" w:rsidRDefault="0013009D" w:rsidP="0013009D">
      <w:pPr>
        <w:jc w:val="both"/>
        <w:rPr>
          <w:rFonts w:ascii="Arial" w:hAnsi="Arial" w:cs="Arial"/>
          <w:b/>
          <w:bCs/>
          <w:lang w:val="es-ES"/>
        </w:rPr>
      </w:pPr>
    </w:p>
    <w:p w14:paraId="7894847E" w14:textId="77777777" w:rsidR="007D77D5" w:rsidRDefault="007D77D5" w:rsidP="0013009D">
      <w:pPr>
        <w:jc w:val="both"/>
        <w:rPr>
          <w:rFonts w:ascii="Arial" w:hAnsi="Arial" w:cs="Arial"/>
          <w:b/>
          <w:bCs/>
          <w:lang w:val="es-ES"/>
        </w:rPr>
      </w:pPr>
    </w:p>
    <w:p w14:paraId="7F36E9D2" w14:textId="77777777" w:rsidR="007D77D5" w:rsidRPr="0013009D" w:rsidRDefault="007D77D5" w:rsidP="0013009D">
      <w:pPr>
        <w:jc w:val="both"/>
        <w:rPr>
          <w:rFonts w:ascii="Arial" w:hAnsi="Arial" w:cs="Arial"/>
          <w:b/>
          <w:bCs/>
          <w:lang w:val="es-ES"/>
        </w:rPr>
      </w:pPr>
    </w:p>
    <w:p w14:paraId="08DEE5EE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val="es-ES"/>
        </w:rPr>
      </w:pPr>
    </w:p>
    <w:p w14:paraId="6A279B73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</w:pPr>
      <w:r w:rsidRPr="0013009D">
        <w:rPr>
          <w:rFonts w:ascii="Arial" w:hAnsi="Arial" w:cs="Arial"/>
          <w:b/>
          <w:bCs/>
          <w:color w:val="0B769F" w:themeColor="accent4" w:themeShade="BF"/>
          <w:sz w:val="28"/>
          <w:szCs w:val="28"/>
          <w:lang w:eastAsia="es-CR"/>
        </w:rPr>
        <w:lastRenderedPageBreak/>
        <w:t>Anexo 5</w:t>
      </w:r>
    </w:p>
    <w:p w14:paraId="0C836944" w14:textId="77777777" w:rsidR="0013009D" w:rsidRPr="0013009D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lang w:eastAsia="es-CR"/>
        </w:rPr>
      </w:pPr>
    </w:p>
    <w:p w14:paraId="286A0B0E" w14:textId="77777777" w:rsidR="0013009D" w:rsidRPr="0013009D" w:rsidRDefault="0013009D" w:rsidP="0013009D">
      <w:pPr>
        <w:jc w:val="both"/>
        <w:rPr>
          <w:rFonts w:ascii="Arial" w:hAnsi="Arial" w:cs="Arial"/>
          <w:b/>
          <w:bCs/>
          <w:lang w:val="es-ES"/>
        </w:rPr>
      </w:pPr>
      <w:r w:rsidRPr="0013009D">
        <w:rPr>
          <w:rFonts w:ascii="Arial" w:hAnsi="Arial" w:cs="Arial"/>
          <w:lang w:val="es-ES"/>
        </w:rPr>
        <w:t>Dos perspectivas de la misma información: una temporal (inicio a fin) (Figura 3) y otra retrospectiva (desde el estado final) (Figura 4).</w:t>
      </w:r>
    </w:p>
    <w:p w14:paraId="0736D827" w14:textId="77777777" w:rsidR="0013009D" w:rsidRPr="007D77D5" w:rsidRDefault="0013009D" w:rsidP="0013009D">
      <w:pPr>
        <w:jc w:val="both"/>
        <w:rPr>
          <w:rFonts w:ascii="Arial" w:hAnsi="Arial" w:cs="Arial"/>
          <w:b/>
          <w:bCs/>
          <w:sz w:val="32"/>
          <w:szCs w:val="32"/>
          <w:lang w:val="es-ES"/>
        </w:rPr>
      </w:pPr>
    </w:p>
    <w:p w14:paraId="5E0F0F42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lang w:eastAsia="es-CR"/>
        </w:rPr>
      </w:pPr>
      <w:r w:rsidRPr="007D77D5">
        <w:rPr>
          <w:rFonts w:ascii="Arial" w:hAnsi="Arial" w:cs="Arial"/>
          <w:b/>
          <w:bCs/>
          <w:color w:val="0B769F" w:themeColor="accent4" w:themeShade="BF"/>
          <w:lang w:eastAsia="es-CR"/>
        </w:rPr>
        <w:t>Figura 3. CCSS: Evolución histórica del riesgo relativo en las 105 áreas de salud, 2019 a 2024</w:t>
      </w:r>
    </w:p>
    <w:p w14:paraId="02C92E92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7B0C5779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  <w:lang w:val="es-ES"/>
        </w:rPr>
      </w:pPr>
      <w:r w:rsidRPr="0013009D">
        <w:rPr>
          <w:rFonts w:ascii="Arial" w:hAnsi="Arial" w:cs="Arial"/>
          <w:i/>
          <w:iCs/>
          <w:noProof/>
          <w:lang w:val="es-ES"/>
        </w:rPr>
        <w:drawing>
          <wp:inline distT="0" distB="0" distL="0" distR="0" wp14:anchorId="24F1A768" wp14:editId="65B011DA">
            <wp:extent cx="5612130" cy="5372100"/>
            <wp:effectExtent l="0" t="0" r="7620" b="0"/>
            <wp:docPr id="9197403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7403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C542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3790289A" w14:textId="77777777" w:rsidR="0013009D" w:rsidRPr="0013009D" w:rsidRDefault="0013009D" w:rsidP="0013009D">
      <w:pPr>
        <w:jc w:val="both"/>
        <w:rPr>
          <w:rFonts w:ascii="Arial" w:hAnsi="Arial" w:cs="Arial"/>
          <w:sz w:val="20"/>
          <w:szCs w:val="20"/>
          <w:lang w:eastAsia="es-CR"/>
        </w:rPr>
      </w:pPr>
      <w:r w:rsidRPr="0013009D">
        <w:rPr>
          <w:rFonts w:ascii="Arial" w:hAnsi="Arial" w:cs="Arial"/>
          <w:sz w:val="20"/>
          <w:szCs w:val="20"/>
          <w:lang w:eastAsia="es-CR"/>
        </w:rPr>
        <w:t xml:space="preserve">Fuente: </w:t>
      </w:r>
      <w:proofErr w:type="spellStart"/>
      <w:r w:rsidRPr="0013009D">
        <w:rPr>
          <w:rFonts w:ascii="Arial" w:hAnsi="Arial" w:cs="Arial"/>
          <w:sz w:val="20"/>
          <w:szCs w:val="20"/>
          <w:lang w:eastAsia="es-CR"/>
        </w:rPr>
        <w:t>DCSS</w:t>
      </w:r>
      <w:proofErr w:type="spellEnd"/>
      <w:r w:rsidRPr="0013009D">
        <w:rPr>
          <w:rFonts w:ascii="Arial" w:hAnsi="Arial" w:cs="Arial"/>
          <w:sz w:val="20"/>
          <w:szCs w:val="20"/>
          <w:lang w:eastAsia="es-CR"/>
        </w:rPr>
        <w:t>. Evaluación de la prestación de Servicios de Salud, 2019-2024</w:t>
      </w:r>
    </w:p>
    <w:p w14:paraId="30727B8E" w14:textId="77777777" w:rsidR="0013009D" w:rsidRPr="0013009D" w:rsidRDefault="0013009D" w:rsidP="0013009D">
      <w:pPr>
        <w:jc w:val="both"/>
        <w:rPr>
          <w:rFonts w:ascii="Arial" w:hAnsi="Arial" w:cs="Arial"/>
          <w:sz w:val="32"/>
          <w:szCs w:val="32"/>
        </w:rPr>
      </w:pPr>
    </w:p>
    <w:p w14:paraId="32FAC7BC" w14:textId="035A1A6C" w:rsidR="0013009D" w:rsidRPr="0013009D" w:rsidRDefault="0013009D" w:rsidP="0013009D">
      <w:pPr>
        <w:jc w:val="both"/>
        <w:rPr>
          <w:rFonts w:ascii="Arial" w:hAnsi="Arial" w:cs="Arial"/>
          <w:sz w:val="22"/>
          <w:szCs w:val="22"/>
        </w:rPr>
      </w:pPr>
      <w:r w:rsidRPr="0013009D">
        <w:rPr>
          <w:rFonts w:ascii="Arial" w:hAnsi="Arial" w:cs="Arial"/>
          <w:sz w:val="22"/>
          <w:szCs w:val="22"/>
        </w:rPr>
        <w:t>Este ordenamiento permite observar si el riesgo en las AS, disminuye o se mantiene estable en el tiempo. También, facilita detectar comportamientos sostenidos (mejora o deterioro).</w:t>
      </w:r>
    </w:p>
    <w:p w14:paraId="59CD4645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</w:rPr>
      </w:pPr>
    </w:p>
    <w:p w14:paraId="330DB024" w14:textId="77777777" w:rsidR="0013009D" w:rsidRPr="0013009D" w:rsidRDefault="0013009D" w:rsidP="0013009D">
      <w:pPr>
        <w:jc w:val="both"/>
        <w:rPr>
          <w:rFonts w:ascii="Arial" w:hAnsi="Arial" w:cs="Arial"/>
          <w:i/>
          <w:iCs/>
        </w:rPr>
      </w:pPr>
    </w:p>
    <w:p w14:paraId="2F2B1E36" w14:textId="77777777" w:rsidR="0013009D" w:rsidRPr="007D77D5" w:rsidRDefault="0013009D" w:rsidP="0013009D">
      <w:pPr>
        <w:jc w:val="center"/>
        <w:rPr>
          <w:rFonts w:ascii="Arial" w:hAnsi="Arial" w:cs="Arial"/>
          <w:b/>
          <w:bCs/>
          <w:color w:val="0B769F" w:themeColor="accent4" w:themeShade="BF"/>
          <w:lang w:eastAsia="es-CR"/>
        </w:rPr>
      </w:pPr>
      <w:r w:rsidRPr="007D77D5">
        <w:rPr>
          <w:rFonts w:ascii="Arial" w:hAnsi="Arial" w:cs="Arial"/>
          <w:b/>
          <w:bCs/>
          <w:color w:val="0B769F" w:themeColor="accent4" w:themeShade="BF"/>
          <w:lang w:eastAsia="es-CR"/>
        </w:rPr>
        <w:lastRenderedPageBreak/>
        <w:t>Figura 4. CCSS: Evolución y trayectoria del estado del riesgo relativo en el año 2024 de las 105 AS</w:t>
      </w:r>
    </w:p>
    <w:p w14:paraId="2432BBE2" w14:textId="77777777" w:rsidR="0013009D" w:rsidRPr="0013009D" w:rsidRDefault="0013009D" w:rsidP="0013009D">
      <w:pPr>
        <w:jc w:val="right"/>
        <w:rPr>
          <w:rFonts w:ascii="Arial" w:hAnsi="Arial" w:cs="Arial"/>
          <w:i/>
          <w:iCs/>
          <w:lang w:val="es-ES"/>
        </w:rPr>
      </w:pPr>
      <w:r w:rsidRPr="0013009D">
        <w:rPr>
          <w:rFonts w:ascii="Arial" w:hAnsi="Arial" w:cs="Arial"/>
          <w:i/>
          <w:iCs/>
          <w:noProof/>
          <w:lang w:val="es-ES"/>
        </w:rPr>
        <w:drawing>
          <wp:inline distT="0" distB="0" distL="0" distR="0" wp14:anchorId="2EA9C691" wp14:editId="42337182">
            <wp:extent cx="5867567" cy="6489700"/>
            <wp:effectExtent l="0" t="0" r="0" b="6350"/>
            <wp:docPr id="20834383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383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7116" cy="650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EA4C4" w14:textId="77777777" w:rsidR="0013009D" w:rsidRPr="0013009D" w:rsidRDefault="0013009D" w:rsidP="0013009D">
      <w:pPr>
        <w:jc w:val="both"/>
        <w:rPr>
          <w:rFonts w:ascii="Arial" w:hAnsi="Arial" w:cs="Arial"/>
          <w:sz w:val="20"/>
          <w:szCs w:val="20"/>
          <w:lang w:eastAsia="es-CR"/>
        </w:rPr>
      </w:pPr>
      <w:r w:rsidRPr="0013009D">
        <w:rPr>
          <w:rFonts w:ascii="Arial" w:hAnsi="Arial" w:cs="Arial"/>
          <w:sz w:val="20"/>
          <w:szCs w:val="20"/>
          <w:lang w:eastAsia="es-CR"/>
        </w:rPr>
        <w:t xml:space="preserve">   Fuente: </w:t>
      </w:r>
      <w:proofErr w:type="spellStart"/>
      <w:r w:rsidRPr="0013009D">
        <w:rPr>
          <w:rFonts w:ascii="Arial" w:hAnsi="Arial" w:cs="Arial"/>
          <w:sz w:val="20"/>
          <w:szCs w:val="20"/>
          <w:lang w:eastAsia="es-CR"/>
        </w:rPr>
        <w:t>DCSS</w:t>
      </w:r>
      <w:proofErr w:type="spellEnd"/>
      <w:r w:rsidRPr="0013009D">
        <w:rPr>
          <w:rFonts w:ascii="Arial" w:hAnsi="Arial" w:cs="Arial"/>
          <w:sz w:val="20"/>
          <w:szCs w:val="20"/>
          <w:lang w:eastAsia="es-CR"/>
        </w:rPr>
        <w:t>. Evaluación de la prestación de Servicios de Salud, 2019-2024</w:t>
      </w:r>
    </w:p>
    <w:p w14:paraId="4EE3E0F9" w14:textId="77777777" w:rsidR="0013009D" w:rsidRPr="0013009D" w:rsidRDefault="0013009D" w:rsidP="0013009D">
      <w:pPr>
        <w:jc w:val="right"/>
        <w:rPr>
          <w:rFonts w:ascii="Arial" w:hAnsi="Arial" w:cs="Arial"/>
          <w:i/>
          <w:iCs/>
          <w:sz w:val="32"/>
          <w:szCs w:val="32"/>
        </w:rPr>
      </w:pPr>
    </w:p>
    <w:p w14:paraId="173A8E45" w14:textId="68AF9A0B" w:rsidR="0013009D" w:rsidRPr="00264F5C" w:rsidRDefault="0013009D" w:rsidP="0013009D">
      <w:pPr>
        <w:jc w:val="both"/>
        <w:rPr>
          <w:rFonts w:ascii="Arial" w:hAnsi="Arial" w:cs="Arial"/>
          <w:sz w:val="22"/>
          <w:szCs w:val="22"/>
        </w:rPr>
      </w:pPr>
      <w:r w:rsidRPr="0013009D">
        <w:rPr>
          <w:rFonts w:ascii="Arial" w:hAnsi="Arial" w:cs="Arial"/>
          <w:sz w:val="22"/>
          <w:szCs w:val="22"/>
        </w:rPr>
        <w:t>Este ordenamiento permite distinguir cambios graduales versus cambios abruptos</w:t>
      </w:r>
      <w:r w:rsidRPr="0013009D">
        <w:rPr>
          <w:rFonts w:ascii="Arial" w:hAnsi="Arial" w:cs="Arial"/>
          <w:spacing w:val="-20"/>
          <w:sz w:val="22"/>
          <w:szCs w:val="22"/>
        </w:rPr>
        <w:t>.</w:t>
      </w:r>
      <w:r w:rsidRPr="0013009D">
        <w:rPr>
          <w:rFonts w:ascii="Arial" w:hAnsi="Arial" w:cs="Arial"/>
          <w:sz w:val="22"/>
          <w:szCs w:val="22"/>
        </w:rPr>
        <w:t xml:space="preserve"> También</w:t>
      </w:r>
      <w:r w:rsidRPr="0013009D">
        <w:rPr>
          <w:rFonts w:ascii="Arial" w:hAnsi="Arial" w:cs="Arial"/>
          <w:spacing w:val="-20"/>
          <w:sz w:val="22"/>
          <w:szCs w:val="22"/>
        </w:rPr>
        <w:t>,</w:t>
      </w:r>
      <w:r w:rsidRPr="0013009D">
        <w:rPr>
          <w:rFonts w:ascii="Arial" w:hAnsi="Arial" w:cs="Arial"/>
          <w:sz w:val="22"/>
          <w:szCs w:val="22"/>
        </w:rPr>
        <w:t xml:space="preserve"> permite observar AS con el mismo valor final en 2024, pero con trayectorias distintas para llegar a ese resultado.</w:t>
      </w:r>
    </w:p>
    <w:p w14:paraId="275C5DDA" w14:textId="77777777" w:rsidR="00B746D9" w:rsidRDefault="00B746D9"/>
    <w:sectPr w:rsidR="00B746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9D"/>
    <w:rsid w:val="000B54CB"/>
    <w:rsid w:val="0013009D"/>
    <w:rsid w:val="00260FA1"/>
    <w:rsid w:val="007D77D5"/>
    <w:rsid w:val="00B05ED3"/>
    <w:rsid w:val="00B27513"/>
    <w:rsid w:val="00B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C3D8"/>
  <w15:chartTrackingRefBased/>
  <w15:docId w15:val="{6FE7D4EC-AC1D-4A44-9024-64E07C64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9D"/>
    <w:pPr>
      <w:spacing w:after="0" w:line="240" w:lineRule="auto"/>
    </w:pPr>
    <w:rPr>
      <w:sz w:val="24"/>
      <w:szCs w:val="24"/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13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0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0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0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0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09D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09D"/>
    <w:rPr>
      <w:rFonts w:eastAsiaTheme="majorEastAsia" w:cstheme="majorBidi"/>
      <w:color w:val="0F476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09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09D"/>
    <w:rPr>
      <w:rFonts w:eastAsiaTheme="majorEastAsia" w:cstheme="majorBidi"/>
      <w:color w:val="595959" w:themeColor="text1" w:themeTint="A6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09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09D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130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0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00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09D"/>
    <w:rPr>
      <w:rFonts w:ascii="Arial" w:hAnsi="Arial"/>
      <w:i/>
      <w:iCs/>
      <w:color w:val="404040" w:themeColor="text1" w:themeTint="BF"/>
      <w:sz w:val="24"/>
    </w:rPr>
  </w:style>
  <w:style w:type="paragraph" w:styleId="Prrafodelista">
    <w:name w:val="List Paragraph"/>
    <w:basedOn w:val="Normal"/>
    <w:uiPriority w:val="34"/>
    <w:qFormat/>
    <w:rsid w:val="001300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0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09D"/>
    <w:rPr>
      <w:rFonts w:ascii="Arial" w:hAnsi="Arial"/>
      <w:i/>
      <w:iCs/>
      <w:color w:val="0F4761" w:themeColor="accent1" w:themeShade="BF"/>
      <w:sz w:val="24"/>
    </w:rPr>
  </w:style>
  <w:style w:type="character" w:styleId="Referenciaintensa">
    <w:name w:val="Intense Reference"/>
    <w:basedOn w:val="Fuentedeprrafopredeter"/>
    <w:uiPriority w:val="32"/>
    <w:qFormat/>
    <w:rsid w:val="0013009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3009D"/>
    <w:rPr>
      <w:color w:val="467886" w:themeColor="hyperlink"/>
      <w:u w:val="single"/>
    </w:rPr>
  </w:style>
  <w:style w:type="table" w:styleId="Tabladelista6concolores">
    <w:name w:val="List Table 6 Colorful"/>
    <w:basedOn w:val="Tablanormal"/>
    <w:uiPriority w:val="51"/>
    <w:rsid w:val="0013009D"/>
    <w:pPr>
      <w:spacing w:after="0" w:line="240" w:lineRule="auto"/>
    </w:pPr>
    <w:rPr>
      <w:color w:val="000000" w:themeColor="text1"/>
      <w:sz w:val="24"/>
      <w:szCs w:val="24"/>
      <w:lang w:val="es-C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inespaciado">
    <w:name w:val="No Spacing"/>
    <w:uiPriority w:val="1"/>
    <w:qFormat/>
    <w:rsid w:val="0013009D"/>
    <w:pPr>
      <w:spacing w:after="0" w:line="240" w:lineRule="auto"/>
    </w:pPr>
    <w:rPr>
      <w:sz w:val="24"/>
      <w:szCs w:val="24"/>
      <w:lang w:val="es-CR"/>
    </w:rPr>
  </w:style>
  <w:style w:type="table" w:styleId="Tablaconcuadrcula4-nfasis1">
    <w:name w:val="Grid Table 4 Accent 1"/>
    <w:basedOn w:val="Tablanormal"/>
    <w:uiPriority w:val="49"/>
    <w:rsid w:val="0013009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github.com/Mar89R/Modelos-bayesianos-ccs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349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María Cubillo Escalante</dc:creator>
  <cp:keywords/>
  <dc:description/>
  <cp:lastModifiedBy>Irene María Cubillo Escalante</cp:lastModifiedBy>
  <cp:revision>2</cp:revision>
  <dcterms:created xsi:type="dcterms:W3CDTF">2026-09-10T13:25:00Z</dcterms:created>
  <dcterms:modified xsi:type="dcterms:W3CDTF">2026-09-10T13:33:00Z</dcterms:modified>
</cp:coreProperties>
</file>